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/>
        <w:t xml:space="preserve">Scheda di sintesi sulla rilevazione degli OIV o </w:t>
      </w:r>
      <w:r>
        <w:rPr>
          <w:rFonts w:ascii="Titillium" w:hAnsi="Titillium"/>
          <w:sz w:val="20"/>
          <w:szCs w:val="20"/>
        </w:rPr>
        <w:t>organismi con funzioni analoghe</w:t>
      </w:r>
    </w:p>
    <w:p>
      <w:pPr>
        <w:pStyle w:val="ListParagraph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Data di svolgimento della rilevazione: 30/05/2022, con inizio rilevazione il 25/05/2022 e fine rilevazione il 28/05/2022</w:t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rilevazione: Comune di Lumezzane – 25065 (BS)</w:t>
      </w:r>
    </w:p>
    <w:p>
      <w:pPr>
        <w:pStyle w:val="ListParagraph"/>
        <w:spacing w:lineRule="auto" w:line="276" w:before="0" w:after="0"/>
        <w:ind w:left="72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Procedure e modalità seguite per la rilevazione:</w:t>
      </w:r>
    </w:p>
    <w:p>
      <w:pPr>
        <w:pStyle w:val="ListParagraph"/>
        <w:spacing w:lineRule="auto" w:line="36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Verifica delle pubblicazioni effettuate e della loro conformità ai criteri di qualità individuati dall’ANAC , svolta dal Responsabile della trasparenza. Le risultanze sono state condivise con l’Organismo di Valutazione, che ha potuto verficarne la correttezza sul sito istituzionale, attraverso idonei supporti informatici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Aspetti critici riscontrati nel corso della rilevazione:</w:t>
      </w:r>
    </w:p>
    <w:p>
      <w:pPr>
        <w:pStyle w:val="Normal"/>
        <w:spacing w:lineRule="auto" w:line="360" w:before="0" w:after="120"/>
        <w:rPr/>
      </w:pPr>
      <w:r>
        <w:rPr>
          <w:rFonts w:ascii="Titillium" w:hAnsi="Titillium"/>
          <w:sz w:val="20"/>
          <w:szCs w:val="20"/>
        </w:rPr>
        <w:t>In merito alle fattispecie in cui, nella griglia di rilevazione, alla colonna “completezza di contenuto” è stato attribuito in valore inferiore a “3”, è in corso l’attività di aggiornamento/integrazione, in conformità a quanto previsto dalla delibera 201 del 13 aprile 2022 dell’ANAC</w:t>
      </w:r>
      <w:bookmarkStart w:id="0" w:name="_GoBack"/>
      <w:bookmarkEnd w:id="0"/>
      <w:r>
        <w:rPr>
          <w:rFonts w:ascii="Titillium" w:hAnsi="Titillium"/>
          <w:sz w:val="20"/>
          <w:szCs w:val="20"/>
        </w:rPr>
        <w:t>..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  <w:drawing>
        <wp:anchor behindDoc="1" distT="0" distB="1270" distL="114300" distR="114300" simplePos="0" locked="0" layoutInCell="1" allowOverlap="1" relativeHeight="2">
          <wp:simplePos x="0" y="0"/>
          <wp:positionH relativeFrom="margin">
            <wp:posOffset>-271780</wp:posOffset>
          </wp:positionH>
          <wp:positionV relativeFrom="page">
            <wp:posOffset>453390</wp:posOffset>
          </wp:positionV>
          <wp:extent cx="2879725" cy="341630"/>
          <wp:effectExtent l="0" t="0" r="0" b="0"/>
          <wp:wrapSquare wrapText="bothSides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cs="Times New Roman" w:ascii="Titillium" w:hAnsi="Titillium"/>
        <w:b/>
        <w:sz w:val="20"/>
        <w:szCs w:val="20"/>
      </w:rPr>
      <w:t>delibera ANAC n. 201/2022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LibreOffice/6.1.2.1$Windows_X86_64 LibreOffice_project/65905a128db06ba48db947242809d14d3f9a93fe</Application>
  <Pages>1</Pages>
  <Words>141</Words>
  <Characters>879</Characters>
  <CharactersWithSpaces>1016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2022-06-27T13:38:00Z</dcterms:created>
  <dc:creator>i.siciliani</dc:creator>
  <dc:description/>
  <dc:language>it-IT</dc:language>
  <cp:lastModifiedBy>Francesca Di Nardo</cp:lastModifiedBy>
  <cp:lastPrinted>2018-02-28T15:30:00Z</cp:lastPrinted>
  <dcterms:modified xsi:type="dcterms:W3CDTF">2022-06-27T14:45:00Z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